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9F" w:rsidRPr="00290C27" w:rsidRDefault="00290C27" w:rsidP="001B049F">
      <w:pPr>
        <w:shd w:val="clear" w:color="auto" w:fill="FFFFFF"/>
        <w:adjustRightInd/>
        <w:snapToGrid/>
        <w:spacing w:after="0" w:line="420" w:lineRule="atLeast"/>
        <w:rPr>
          <w:rFonts w:ascii="微软雅黑" w:hAnsi="微软雅黑" w:cs="宋体"/>
          <w:sz w:val="21"/>
          <w:szCs w:val="21"/>
        </w:rPr>
      </w:pPr>
      <w:r w:rsidRPr="00290C27">
        <w:rPr>
          <w:rFonts w:ascii="微软雅黑" w:hAnsi="微软雅黑" w:cs="宋体" w:hint="eastAsia"/>
          <w:b/>
          <w:bCs/>
          <w:sz w:val="36"/>
        </w:rPr>
        <w:t>架桥机</w:t>
      </w:r>
      <w:r w:rsidR="00B94A77">
        <w:rPr>
          <w:rFonts w:ascii="微软雅黑" w:hAnsi="微软雅黑" w:cs="宋体" w:hint="eastAsia"/>
          <w:b/>
          <w:bCs/>
          <w:sz w:val="36"/>
        </w:rPr>
        <w:t>监控</w:t>
      </w:r>
      <w:r w:rsidR="001B049F" w:rsidRPr="00290C27">
        <w:rPr>
          <w:rFonts w:ascii="微软雅黑" w:hAnsi="微软雅黑" w:cs="宋体" w:hint="eastAsia"/>
          <w:b/>
          <w:bCs/>
          <w:sz w:val="36"/>
        </w:rPr>
        <w:t>型号：CSM1000-JQ</w:t>
      </w:r>
    </w:p>
    <w:p w:rsidR="001B049F" w:rsidRDefault="001B049F" w:rsidP="001B049F">
      <w:pPr>
        <w:adjustRightInd/>
        <w:snapToGrid/>
        <w:spacing w:after="0"/>
        <w:rPr>
          <w:rFonts w:ascii="宋体" w:eastAsia="宋体" w:hAnsi="宋体" w:cs="宋体" w:hint="eastAsia"/>
          <w:sz w:val="24"/>
          <w:szCs w:val="24"/>
        </w:rPr>
      </w:pPr>
      <w:r w:rsidRPr="00290C27">
        <w:rPr>
          <w:rFonts w:ascii="微软雅黑" w:hAnsi="微软雅黑" w:cs="宋体" w:hint="eastAsia"/>
          <w:sz w:val="18"/>
          <w:szCs w:val="18"/>
        </w:rPr>
        <w:br/>
      </w:r>
    </w:p>
    <w:p w:rsidR="00B94A77" w:rsidRPr="00B94A77" w:rsidRDefault="00B94A77" w:rsidP="00B94A77">
      <w:pPr>
        <w:shd w:val="clear" w:color="auto" w:fill="FFFFFF"/>
        <w:adjustRightInd/>
        <w:snapToGrid/>
        <w:spacing w:after="0"/>
        <w:outlineLvl w:val="2"/>
        <w:rPr>
          <w:rFonts w:ascii="微软雅黑" w:hAnsi="微软雅黑" w:cs="宋体"/>
          <w:b/>
          <w:bCs/>
          <w:color w:val="E53333"/>
          <w:sz w:val="27"/>
          <w:szCs w:val="27"/>
        </w:rPr>
      </w:pPr>
      <w:r w:rsidRPr="00B94A77">
        <w:rPr>
          <w:rFonts w:ascii="微软雅黑" w:hAnsi="微软雅黑" w:cs="宋体" w:hint="eastAsia"/>
          <w:b/>
          <w:bCs/>
          <w:color w:val="E53333"/>
          <w:sz w:val="27"/>
          <w:szCs w:val="27"/>
        </w:rPr>
        <w:t>架桥机监控</w:t>
      </w:r>
      <w:r>
        <w:rPr>
          <w:rFonts w:ascii="微软雅黑" w:hAnsi="微软雅黑" w:cs="宋体" w:hint="eastAsia"/>
          <w:b/>
          <w:bCs/>
          <w:color w:val="E53333"/>
          <w:sz w:val="27"/>
          <w:szCs w:val="27"/>
        </w:rPr>
        <w:t>概述</w:t>
      </w:r>
      <w:r w:rsidRPr="00B94A77">
        <w:rPr>
          <w:rFonts w:ascii="微软雅黑" w:hAnsi="微软雅黑" w:cs="宋体" w:hint="eastAsia"/>
          <w:b/>
          <w:bCs/>
          <w:color w:val="E53333"/>
          <w:sz w:val="27"/>
          <w:szCs w:val="27"/>
        </w:rPr>
        <w:t>：</w:t>
      </w:r>
    </w:p>
    <w:p w:rsidR="001B049F" w:rsidRPr="00290C27" w:rsidRDefault="00290C27" w:rsidP="00290C27">
      <w:pPr>
        <w:shd w:val="clear" w:color="auto" w:fill="FFFFFF"/>
        <w:adjustRightInd/>
        <w:snapToGrid/>
        <w:spacing w:after="0" w:line="420" w:lineRule="atLeast"/>
        <w:ind w:firstLineChars="150" w:firstLine="420"/>
        <w:rPr>
          <w:rFonts w:asciiTheme="minorEastAsia" w:eastAsiaTheme="minorEastAsia" w:hAnsiTheme="minorEastAsia" w:cs="宋体"/>
          <w:color w:val="000000"/>
          <w:sz w:val="28"/>
          <w:szCs w:val="28"/>
        </w:rPr>
      </w:pPr>
      <w:r w:rsidRPr="00290C27">
        <w:rPr>
          <w:rFonts w:asciiTheme="minorEastAsia" w:eastAsiaTheme="minorEastAsia" w:hAnsiTheme="minorEastAsia" w:cs="宋体" w:hint="eastAsia"/>
          <w:color w:val="000000"/>
          <w:sz w:val="28"/>
          <w:szCs w:val="28"/>
        </w:rPr>
        <w:t>CSM1000架桥机安全监控管理系统是琰汐自动化</w:t>
      </w:r>
      <w:r w:rsidR="001B049F" w:rsidRPr="00290C27">
        <w:rPr>
          <w:rFonts w:asciiTheme="minorEastAsia" w:eastAsiaTheme="minorEastAsia" w:hAnsiTheme="minorEastAsia" w:cs="宋体" w:hint="eastAsia"/>
          <w:color w:val="000000"/>
          <w:sz w:val="28"/>
          <w:szCs w:val="28"/>
        </w:rPr>
        <w:t>研发的起重机安全监测和信息化管理产品，其能够实现对架桥机运行状态的全方位监测、多种不同危险的预警以及运行作业的信息化管理，</w:t>
      </w:r>
      <w:hyperlink r:id="rId4" w:history="1">
        <w:r w:rsidR="001B049F" w:rsidRPr="00290C27">
          <w:rPr>
            <w:rFonts w:asciiTheme="minorEastAsia" w:eastAsiaTheme="minorEastAsia" w:hAnsiTheme="minorEastAsia" w:cs="宋体" w:hint="eastAsia"/>
            <w:color w:val="000000"/>
            <w:sz w:val="28"/>
            <w:szCs w:val="28"/>
          </w:rPr>
          <w:t>桥梁行业</w:t>
        </w:r>
      </w:hyperlink>
      <w:r w:rsidR="001B049F" w:rsidRPr="00290C27">
        <w:rPr>
          <w:rFonts w:asciiTheme="minorEastAsia" w:eastAsiaTheme="minorEastAsia" w:hAnsiTheme="minorEastAsia" w:cs="宋体" w:hint="eastAsia"/>
          <w:color w:val="000000"/>
          <w:sz w:val="28"/>
          <w:szCs w:val="28"/>
        </w:rPr>
        <w:t>能够有效提升架桥机的安全水平和运营效率。</w:t>
      </w: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290C27">
        <w:rPr>
          <w:rFonts w:asciiTheme="minorEastAsia" w:eastAsiaTheme="minorEastAsia" w:hAnsiTheme="minorEastAsia" w:cs="宋体" w:hint="eastAsia"/>
          <w:color w:val="000000"/>
          <w:sz w:val="28"/>
          <w:szCs w:val="28"/>
        </w:rPr>
        <w:t>架桥机安全监控管理系统由安装在施工架桥机上的CSM1000-JQ型架桥机数据监测系统和视频监控系统两部分组成。</w:t>
      </w: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290C27">
        <w:rPr>
          <w:rFonts w:asciiTheme="minorEastAsia" w:eastAsiaTheme="minorEastAsia" w:hAnsiTheme="minorEastAsia" w:cs="宋体" w:hint="eastAsia"/>
          <w:color w:val="000000"/>
          <w:sz w:val="28"/>
          <w:szCs w:val="28"/>
        </w:rPr>
        <w:t>CSM1000-JQ型架桥机安全监控管理系统由带动态显示的主机、水平传感器、垂直传感器、高度传感器、风速传感器、起重量传感器、纵向行程传感器、横向行程传感器、无线通信模块等组成，能够实时采集并显示架桥机的运行状态。</w:t>
      </w: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290C27">
        <w:rPr>
          <w:rFonts w:asciiTheme="minorEastAsia" w:eastAsiaTheme="minorEastAsia" w:hAnsiTheme="minorEastAsia" w:cs="宋体" w:hint="eastAsia"/>
          <w:color w:val="000000"/>
          <w:sz w:val="28"/>
          <w:szCs w:val="28"/>
        </w:rPr>
        <w:t>CSM1000-JQ视频监控器由分别布设在前支腿和后肢顶部的4个摄像头以及显示器构成，用于监控架桥机的过孔状况和与运梁车连接情况。</w:t>
      </w: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p>
    <w:p w:rsidR="001B049F" w:rsidRPr="00290C2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290C27">
        <w:rPr>
          <w:rFonts w:asciiTheme="minorEastAsia" w:eastAsiaTheme="minorEastAsia" w:hAnsiTheme="minorEastAsia" w:cs="宋体" w:hint="eastAsia"/>
          <w:color w:val="000000"/>
          <w:sz w:val="28"/>
          <w:szCs w:val="28"/>
        </w:rPr>
        <w:t>CSM1000-JQ型架桥机安全监控管理可接入特种设备安全监控管理平台能够实现对全国多个项目工地、多类架桥机运营信息以及安全状态的实时管理，便于实现区域架桥机远程信息化管理的需求。</w:t>
      </w:r>
    </w:p>
    <w:p w:rsidR="001B049F" w:rsidRPr="001B049F" w:rsidRDefault="001B049F" w:rsidP="001B049F">
      <w:pPr>
        <w:shd w:val="clear" w:color="auto" w:fill="FFFFFF"/>
        <w:adjustRightInd/>
        <w:snapToGrid/>
        <w:spacing w:after="0" w:line="420" w:lineRule="atLeast"/>
        <w:rPr>
          <w:rFonts w:ascii="微软雅黑" w:hAnsi="微软雅黑" w:cs="宋体"/>
          <w:color w:val="000000"/>
          <w:sz w:val="21"/>
          <w:szCs w:val="21"/>
        </w:rPr>
      </w:pPr>
    </w:p>
    <w:p w:rsidR="001B049F" w:rsidRPr="001B049F" w:rsidRDefault="001B049F" w:rsidP="001B049F">
      <w:pPr>
        <w:shd w:val="clear" w:color="auto" w:fill="FFFFFF"/>
        <w:adjustRightInd/>
        <w:snapToGrid/>
        <w:spacing w:after="0"/>
        <w:outlineLvl w:val="2"/>
        <w:rPr>
          <w:rFonts w:ascii="微软雅黑" w:hAnsi="微软雅黑" w:cs="宋体"/>
          <w:b/>
          <w:bCs/>
          <w:color w:val="000000"/>
          <w:sz w:val="27"/>
          <w:szCs w:val="27"/>
        </w:rPr>
      </w:pPr>
      <w:r w:rsidRPr="001B049F">
        <w:rPr>
          <w:rFonts w:ascii="微软雅黑" w:hAnsi="微软雅黑" w:cs="宋体" w:hint="eastAsia"/>
          <w:b/>
          <w:bCs/>
          <w:color w:val="E53333"/>
          <w:sz w:val="27"/>
          <w:szCs w:val="27"/>
        </w:rPr>
        <w:t>系统特点</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B94A77">
        <w:rPr>
          <w:rFonts w:asciiTheme="minorEastAsia" w:eastAsiaTheme="minorEastAsia" w:hAnsiTheme="minorEastAsia" w:cs="宋体" w:hint="eastAsia"/>
          <w:color w:val="000000"/>
          <w:sz w:val="28"/>
          <w:szCs w:val="28"/>
        </w:rPr>
        <w:t>1）实现了对架桥机天车纵向行程、高度、天车横向行程、重量、风速、水平度、支脚垂直度、整体纵向行程、整体横向行程等八种不同量的测量、记录，从而能够有效避免架桥过程中存在的结构自身危险（超重、风速、倾斜危险）等；</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B94A77">
        <w:rPr>
          <w:rFonts w:asciiTheme="minorEastAsia" w:eastAsiaTheme="minorEastAsia" w:hAnsiTheme="minorEastAsia" w:cs="宋体" w:hint="eastAsia"/>
          <w:color w:val="000000"/>
          <w:sz w:val="28"/>
          <w:szCs w:val="28"/>
        </w:rPr>
        <w:t>2）系统能够实现架桥机司机、远程管理者（建设公司、生产公司）等多层次的管理需求，有效提升了架桥机的安全性能和信息化管理效率；</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B94A77">
        <w:rPr>
          <w:rFonts w:asciiTheme="minorEastAsia" w:eastAsiaTheme="minorEastAsia" w:hAnsiTheme="minorEastAsia" w:cs="宋体" w:hint="eastAsia"/>
          <w:color w:val="000000"/>
          <w:sz w:val="28"/>
          <w:szCs w:val="28"/>
        </w:rPr>
        <w:t>3）辅助视频监控系统即可以扩展司机的操作视野，也可以提升远程监管力度；</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B94A77">
        <w:rPr>
          <w:rFonts w:asciiTheme="minorEastAsia" w:eastAsiaTheme="minorEastAsia" w:hAnsiTheme="minorEastAsia" w:cs="宋体" w:hint="eastAsia"/>
          <w:color w:val="000000"/>
          <w:sz w:val="28"/>
          <w:szCs w:val="28"/>
        </w:rPr>
        <w:t>4）总体技术参数国内领先，如系统监控参量最多、系统刷新速度最快、系统自组网时间最短、性能最稳定。</w:t>
      </w:r>
    </w:p>
    <w:p w:rsidR="001B049F" w:rsidRPr="001B049F" w:rsidRDefault="001B049F" w:rsidP="001B049F">
      <w:pPr>
        <w:shd w:val="clear" w:color="auto" w:fill="FFFFFF"/>
        <w:adjustRightInd/>
        <w:snapToGrid/>
        <w:spacing w:after="0" w:line="420" w:lineRule="atLeast"/>
        <w:rPr>
          <w:rFonts w:ascii="微软雅黑" w:hAnsi="微软雅黑" w:cs="宋体"/>
          <w:color w:val="000000"/>
          <w:sz w:val="21"/>
          <w:szCs w:val="21"/>
        </w:rPr>
      </w:pPr>
    </w:p>
    <w:p w:rsidR="001B049F" w:rsidRPr="001B049F" w:rsidRDefault="001B049F" w:rsidP="001B049F">
      <w:pPr>
        <w:shd w:val="clear" w:color="auto" w:fill="FFFFFF"/>
        <w:adjustRightInd/>
        <w:snapToGrid/>
        <w:spacing w:after="0"/>
        <w:outlineLvl w:val="2"/>
        <w:rPr>
          <w:rFonts w:ascii="微软雅黑" w:hAnsi="微软雅黑" w:cs="宋体"/>
          <w:b/>
          <w:bCs/>
          <w:color w:val="000000"/>
          <w:sz w:val="27"/>
          <w:szCs w:val="27"/>
        </w:rPr>
      </w:pPr>
      <w:r w:rsidRPr="001B049F">
        <w:rPr>
          <w:rFonts w:ascii="微软雅黑" w:hAnsi="微软雅黑" w:cs="宋体" w:hint="eastAsia"/>
          <w:b/>
          <w:bCs/>
          <w:color w:val="E53333"/>
          <w:sz w:val="27"/>
          <w:szCs w:val="27"/>
        </w:rPr>
        <w:t>系统功能</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B94A77">
        <w:rPr>
          <w:rFonts w:asciiTheme="minorEastAsia" w:eastAsiaTheme="minorEastAsia" w:hAnsiTheme="minorEastAsia" w:cs="宋体" w:hint="eastAsia"/>
          <w:color w:val="000000"/>
          <w:sz w:val="28"/>
          <w:szCs w:val="28"/>
        </w:rPr>
        <w:t>1）架桥机运行状态测试、显示及记录功能，包括有架桥机的天车纵向行程、高度、天车横向行程、重量、风速、水平度、支脚垂直度、整体纵向行程、整体横向行程数</w:t>
      </w:r>
      <w:r w:rsidRPr="00B94A77">
        <w:rPr>
          <w:rFonts w:asciiTheme="minorEastAsia" w:eastAsiaTheme="minorEastAsia" w:hAnsiTheme="minorEastAsia" w:cs="宋体" w:hint="eastAsia"/>
          <w:color w:val="000000"/>
          <w:sz w:val="28"/>
          <w:szCs w:val="28"/>
        </w:rPr>
        <w:lastRenderedPageBreak/>
        <w:t>据，</w:t>
      </w:r>
      <w:r w:rsidR="008B778A" w:rsidRPr="00B94A77">
        <w:rPr>
          <w:rFonts w:asciiTheme="minorEastAsia" w:eastAsiaTheme="minorEastAsia" w:hAnsiTheme="minorEastAsia" w:cs="宋体" w:hint="eastAsia"/>
          <w:color w:val="000000"/>
          <w:sz w:val="28"/>
          <w:szCs w:val="28"/>
        </w:rPr>
        <w:t>数据可以寸</w:t>
      </w:r>
      <w:r w:rsidRPr="00B94A77">
        <w:rPr>
          <w:rFonts w:asciiTheme="minorEastAsia" w:eastAsiaTheme="minorEastAsia" w:hAnsiTheme="minorEastAsia" w:cs="宋体" w:hint="eastAsia"/>
          <w:color w:val="000000"/>
          <w:sz w:val="28"/>
          <w:szCs w:val="28"/>
        </w:rPr>
        <w:t>在本地</w:t>
      </w:r>
      <w:r w:rsidR="008B778A" w:rsidRPr="00B94A77">
        <w:rPr>
          <w:rFonts w:asciiTheme="minorEastAsia" w:eastAsiaTheme="minorEastAsia" w:hAnsiTheme="minorEastAsia" w:cs="宋体" w:hint="eastAsia"/>
          <w:color w:val="000000"/>
          <w:sz w:val="28"/>
          <w:szCs w:val="28"/>
        </w:rPr>
        <w:t>设备</w:t>
      </w:r>
      <w:r w:rsidRPr="00B94A77">
        <w:rPr>
          <w:rFonts w:asciiTheme="minorEastAsia" w:eastAsiaTheme="minorEastAsia" w:hAnsiTheme="minorEastAsia" w:cs="宋体" w:hint="eastAsia"/>
          <w:color w:val="000000"/>
          <w:sz w:val="28"/>
          <w:szCs w:val="28"/>
        </w:rPr>
        <w:t>（大于</w:t>
      </w:r>
      <w:r w:rsidR="00290C27" w:rsidRPr="00B94A77">
        <w:rPr>
          <w:rFonts w:asciiTheme="minorEastAsia" w:eastAsiaTheme="minorEastAsia" w:hAnsiTheme="minorEastAsia" w:cs="宋体" w:hint="eastAsia"/>
          <w:color w:val="000000"/>
          <w:sz w:val="28"/>
          <w:szCs w:val="28"/>
        </w:rPr>
        <w:t>30</w:t>
      </w:r>
      <w:r w:rsidRPr="00B94A77">
        <w:rPr>
          <w:rFonts w:asciiTheme="minorEastAsia" w:eastAsiaTheme="minorEastAsia" w:hAnsiTheme="minorEastAsia" w:cs="宋体" w:hint="eastAsia"/>
          <w:color w:val="000000"/>
          <w:sz w:val="28"/>
          <w:szCs w:val="28"/>
        </w:rPr>
        <w:t>天）中，同时也可以存储在远端的服务器中，满足架桥机安全事故分析及运行效率分析的要求；</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B94A77">
        <w:rPr>
          <w:rFonts w:asciiTheme="minorEastAsia" w:eastAsiaTheme="minorEastAsia" w:hAnsiTheme="minorEastAsia" w:cs="宋体" w:hint="eastAsia"/>
          <w:color w:val="000000"/>
          <w:sz w:val="28"/>
          <w:szCs w:val="28"/>
        </w:rPr>
        <w:t>2）架桥机倾斜监控功能，通过测量架桥机的纵向倾斜和立柱的倾斜角来分析架桥机的安全状态，当架桥机的倾斜达到临界状态时予以报警，提醒司机谨慎操作；</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r w:rsidRPr="00B94A77">
        <w:rPr>
          <w:rFonts w:asciiTheme="minorEastAsia" w:eastAsiaTheme="minorEastAsia" w:hAnsiTheme="minorEastAsia" w:cs="宋体" w:hint="eastAsia"/>
          <w:color w:val="000000"/>
          <w:sz w:val="28"/>
          <w:szCs w:val="28"/>
        </w:rPr>
        <w:t>3）架桥机风速监测功能，对架桥机运行过程中的环境风速进行实时监测，提醒司机进行安全操作；</w:t>
      </w:r>
    </w:p>
    <w:p w:rsidR="001B049F" w:rsidRPr="00B94A77" w:rsidRDefault="001B049F" w:rsidP="001B049F">
      <w:pPr>
        <w:shd w:val="clear" w:color="auto" w:fill="FFFFFF"/>
        <w:adjustRightInd/>
        <w:snapToGrid/>
        <w:spacing w:after="0" w:line="420" w:lineRule="atLeast"/>
        <w:rPr>
          <w:rFonts w:asciiTheme="minorEastAsia" w:eastAsiaTheme="minorEastAsia" w:hAnsiTheme="minorEastAsia" w:cs="宋体" w:hint="eastAsia"/>
          <w:color w:val="000000"/>
          <w:sz w:val="28"/>
          <w:szCs w:val="28"/>
        </w:rPr>
      </w:pPr>
      <w:r w:rsidRPr="00B94A77">
        <w:rPr>
          <w:rFonts w:asciiTheme="minorEastAsia" w:eastAsiaTheme="minorEastAsia" w:hAnsiTheme="minorEastAsia" w:cs="宋体" w:hint="eastAsia"/>
          <w:color w:val="000000"/>
          <w:sz w:val="28"/>
          <w:szCs w:val="28"/>
        </w:rPr>
        <w:t>4）架桥机远程安全监控功能</w:t>
      </w:r>
      <w:r w:rsidR="00290C27" w:rsidRPr="00B94A77">
        <w:rPr>
          <w:rFonts w:asciiTheme="minorEastAsia" w:eastAsiaTheme="minorEastAsia" w:hAnsiTheme="minorEastAsia" w:cs="宋体" w:hint="eastAsia"/>
          <w:color w:val="000000"/>
          <w:sz w:val="28"/>
          <w:szCs w:val="28"/>
        </w:rPr>
        <w:t>（自选）</w:t>
      </w:r>
      <w:r w:rsidRPr="00B94A77">
        <w:rPr>
          <w:rFonts w:asciiTheme="minorEastAsia" w:eastAsiaTheme="minorEastAsia" w:hAnsiTheme="minorEastAsia" w:cs="宋体" w:hint="eastAsia"/>
          <w:color w:val="000000"/>
          <w:sz w:val="28"/>
          <w:szCs w:val="28"/>
        </w:rPr>
        <w:t>，能够实现对架桥机运行状态的远程实时监控，满足架桥机远程管理的需求</w:t>
      </w:r>
    </w:p>
    <w:p w:rsidR="00290C27" w:rsidRPr="00B94A77" w:rsidRDefault="00290C27" w:rsidP="001B049F">
      <w:pPr>
        <w:shd w:val="clear" w:color="auto" w:fill="FFFFFF"/>
        <w:adjustRightInd/>
        <w:snapToGrid/>
        <w:spacing w:after="0" w:line="420" w:lineRule="atLeast"/>
        <w:rPr>
          <w:rFonts w:asciiTheme="minorEastAsia" w:eastAsiaTheme="minorEastAsia" w:hAnsiTheme="minorEastAsia" w:cs="宋体" w:hint="eastAsia"/>
          <w:color w:val="000000"/>
          <w:sz w:val="28"/>
          <w:szCs w:val="28"/>
        </w:rPr>
      </w:pPr>
      <w:r w:rsidRPr="00B94A77">
        <w:rPr>
          <w:rFonts w:asciiTheme="minorEastAsia" w:eastAsiaTheme="minorEastAsia" w:hAnsiTheme="minorEastAsia" w:cs="宋体" w:hint="eastAsia"/>
          <w:color w:val="000000"/>
          <w:sz w:val="28"/>
          <w:szCs w:val="28"/>
        </w:rPr>
        <w:t>5）架桥机主梁应力监测功能（自选）能够实现对架桥机主梁的应力实时监测，能够有效提前司机及设备管理人员架桥机的承载力以及损耗度。</w:t>
      </w:r>
    </w:p>
    <w:p w:rsidR="00290C27" w:rsidRDefault="00290C27" w:rsidP="001B049F">
      <w:pPr>
        <w:shd w:val="clear" w:color="auto" w:fill="FFFFFF"/>
        <w:adjustRightInd/>
        <w:snapToGrid/>
        <w:spacing w:after="0" w:line="420" w:lineRule="atLeast"/>
        <w:rPr>
          <w:rFonts w:asciiTheme="minorEastAsia" w:eastAsiaTheme="minorEastAsia" w:hAnsiTheme="minorEastAsia" w:cs="宋体" w:hint="eastAsia"/>
          <w:color w:val="000000"/>
          <w:sz w:val="28"/>
          <w:szCs w:val="28"/>
        </w:rPr>
      </w:pPr>
      <w:r w:rsidRPr="00B94A77">
        <w:rPr>
          <w:rFonts w:asciiTheme="minorEastAsia" w:eastAsiaTheme="minorEastAsia" w:hAnsiTheme="minorEastAsia" w:cs="宋体" w:hint="eastAsia"/>
          <w:color w:val="000000"/>
          <w:sz w:val="28"/>
          <w:szCs w:val="28"/>
        </w:rPr>
        <w:t>6）架桥机吊重钢丝绳监测功能（自选）能够实现对架桥机吊重钢丝绳</w:t>
      </w:r>
      <w:r w:rsidR="00B94A77" w:rsidRPr="00B94A77">
        <w:rPr>
          <w:rFonts w:asciiTheme="minorEastAsia" w:eastAsiaTheme="minorEastAsia" w:hAnsiTheme="minorEastAsia" w:cs="宋体" w:hint="eastAsia"/>
          <w:color w:val="000000"/>
          <w:sz w:val="28"/>
          <w:szCs w:val="28"/>
        </w:rPr>
        <w:t>状态</w:t>
      </w:r>
      <w:r w:rsidRPr="00B94A77">
        <w:rPr>
          <w:rFonts w:asciiTheme="minorEastAsia" w:eastAsiaTheme="minorEastAsia" w:hAnsiTheme="minorEastAsia" w:cs="宋体" w:hint="eastAsia"/>
          <w:color w:val="000000"/>
          <w:sz w:val="28"/>
          <w:szCs w:val="28"/>
        </w:rPr>
        <w:t>实时监测，能够有效</w:t>
      </w:r>
      <w:r w:rsidR="00B94A77" w:rsidRPr="00B94A77">
        <w:rPr>
          <w:rFonts w:asciiTheme="minorEastAsia" w:eastAsiaTheme="minorEastAsia" w:hAnsiTheme="minorEastAsia" w:cs="宋体" w:hint="eastAsia"/>
          <w:color w:val="000000"/>
          <w:sz w:val="28"/>
          <w:szCs w:val="28"/>
        </w:rPr>
        <w:t>防止断绳造成的人、财、物损失。</w:t>
      </w:r>
    </w:p>
    <w:p w:rsidR="00B94A77" w:rsidRPr="00B94A77" w:rsidRDefault="00B94A77" w:rsidP="001B049F">
      <w:pPr>
        <w:shd w:val="clear" w:color="auto" w:fill="FFFFFF"/>
        <w:adjustRightInd/>
        <w:snapToGrid/>
        <w:spacing w:after="0" w:line="420" w:lineRule="atLeast"/>
        <w:rPr>
          <w:rFonts w:asciiTheme="minorEastAsia" w:eastAsiaTheme="minorEastAsia" w:hAnsiTheme="minorEastAsia" w:cs="宋体"/>
          <w:color w:val="000000"/>
          <w:sz w:val="28"/>
          <w:szCs w:val="28"/>
        </w:rPr>
      </w:pPr>
    </w:p>
    <w:p w:rsidR="004358AB" w:rsidRDefault="00B94A77" w:rsidP="00B94A77">
      <w:pPr>
        <w:shd w:val="clear" w:color="auto" w:fill="FFFFFF"/>
        <w:adjustRightInd/>
        <w:snapToGrid/>
        <w:spacing w:after="0"/>
        <w:outlineLvl w:val="2"/>
        <w:rPr>
          <w:rFonts w:ascii="微软雅黑" w:hAnsi="微软雅黑" w:cs="宋体" w:hint="eastAsia"/>
          <w:b/>
          <w:bCs/>
          <w:color w:val="E53333"/>
          <w:sz w:val="27"/>
          <w:szCs w:val="27"/>
        </w:rPr>
      </w:pPr>
      <w:r w:rsidRPr="00B94A77">
        <w:rPr>
          <w:rFonts w:ascii="微软雅黑" w:hAnsi="微软雅黑" w:cs="宋体" w:hint="eastAsia"/>
          <w:b/>
          <w:bCs/>
          <w:color w:val="E53333"/>
          <w:sz w:val="27"/>
          <w:szCs w:val="27"/>
        </w:rPr>
        <w:t>系统框图：</w:t>
      </w:r>
    </w:p>
    <w:p w:rsidR="00B94A77" w:rsidRPr="00B94A77" w:rsidRDefault="00B94A77" w:rsidP="00B94A77">
      <w:pPr>
        <w:shd w:val="clear" w:color="auto" w:fill="FFFFFF"/>
        <w:adjustRightInd/>
        <w:snapToGrid/>
        <w:spacing w:after="0"/>
        <w:outlineLvl w:val="2"/>
        <w:rPr>
          <w:rFonts w:ascii="微软雅黑" w:hAnsi="微软雅黑" w:cs="宋体" w:hint="eastAsia"/>
          <w:b/>
          <w:bCs/>
          <w:color w:val="E53333"/>
          <w:sz w:val="27"/>
          <w:szCs w:val="27"/>
        </w:rPr>
      </w:pPr>
      <w:r>
        <w:rPr>
          <w:rFonts w:ascii="微软雅黑" w:hAnsi="微软雅黑" w:cs="宋体"/>
          <w:b/>
          <w:bCs/>
          <w:noProof/>
          <w:color w:val="E53333"/>
          <w:sz w:val="27"/>
          <w:szCs w:val="27"/>
        </w:rPr>
        <w:drawing>
          <wp:inline distT="0" distB="0" distL="0" distR="0">
            <wp:extent cx="6797344" cy="4076700"/>
            <wp:effectExtent l="19050" t="0" r="3506" b="0"/>
            <wp:docPr id="1" name="图片 1" descr="C:\Users\ADMINI~1\AppData\Local\Temp\15512326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51232648(1).png"/>
                    <pic:cNvPicPr>
                      <a:picLocks noChangeAspect="1" noChangeArrowheads="1"/>
                    </pic:cNvPicPr>
                  </pic:nvPicPr>
                  <pic:blipFill>
                    <a:blip r:embed="rId5" cstate="print"/>
                    <a:srcRect/>
                    <a:stretch>
                      <a:fillRect/>
                    </a:stretch>
                  </pic:blipFill>
                  <pic:spPr bwMode="auto">
                    <a:xfrm>
                      <a:off x="0" y="0"/>
                      <a:ext cx="6799411" cy="4077940"/>
                    </a:xfrm>
                    <a:prstGeom prst="rect">
                      <a:avLst/>
                    </a:prstGeom>
                    <a:noFill/>
                    <a:ln w="9525">
                      <a:noFill/>
                      <a:miter lim="800000"/>
                      <a:headEnd/>
                      <a:tailEnd/>
                    </a:ln>
                  </pic:spPr>
                </pic:pic>
              </a:graphicData>
            </a:graphic>
          </wp:inline>
        </w:drawing>
      </w:r>
    </w:p>
    <w:p w:rsidR="00B94A77" w:rsidRDefault="00B94A77" w:rsidP="00B94A77">
      <w:pPr>
        <w:shd w:val="clear" w:color="auto" w:fill="FFFFFF"/>
        <w:adjustRightInd/>
        <w:snapToGrid/>
        <w:spacing w:after="0"/>
        <w:outlineLvl w:val="2"/>
        <w:rPr>
          <w:rFonts w:ascii="微软雅黑" w:hAnsi="微软雅黑" w:cs="宋体" w:hint="eastAsia"/>
          <w:b/>
          <w:bCs/>
          <w:color w:val="E53333"/>
          <w:sz w:val="27"/>
          <w:szCs w:val="27"/>
        </w:rPr>
      </w:pPr>
      <w:r w:rsidRPr="00B94A77">
        <w:rPr>
          <w:rFonts w:ascii="微软雅黑" w:hAnsi="微软雅黑" w:cs="宋体" w:hint="eastAsia"/>
          <w:b/>
          <w:bCs/>
          <w:color w:val="E53333"/>
          <w:sz w:val="27"/>
          <w:szCs w:val="27"/>
        </w:rPr>
        <w:t>规格参数</w:t>
      </w:r>
    </w:p>
    <w:tbl>
      <w:tblPr>
        <w:tblStyle w:val="a7"/>
        <w:tblW w:w="0" w:type="auto"/>
        <w:tblLook w:val="04A0"/>
      </w:tblPr>
      <w:tblGrid>
        <w:gridCol w:w="2235"/>
        <w:gridCol w:w="1701"/>
        <w:gridCol w:w="1842"/>
        <w:gridCol w:w="2268"/>
        <w:gridCol w:w="2552"/>
      </w:tblGrid>
      <w:tr w:rsidR="00B94A77" w:rsidRPr="00B94A77" w:rsidTr="00BD1694">
        <w:tc>
          <w:tcPr>
            <w:tcW w:w="2235" w:type="dxa"/>
          </w:tcPr>
          <w:p w:rsidR="00B94A77" w:rsidRPr="00B94A77" w:rsidRDefault="00B94A77" w:rsidP="00B94A77">
            <w:pPr>
              <w:adjustRightInd/>
              <w:snapToGrid/>
              <w:outlineLvl w:val="2"/>
              <w:rPr>
                <w:rFonts w:asciiTheme="minorEastAsia" w:eastAsiaTheme="minorEastAsia" w:hAnsiTheme="minorEastAsia" w:cs="宋体"/>
                <w:bCs/>
                <w:sz w:val="24"/>
                <w:szCs w:val="24"/>
              </w:rPr>
            </w:pPr>
            <w:r w:rsidRPr="00B94A77">
              <w:rPr>
                <w:rFonts w:asciiTheme="minorEastAsia" w:eastAsiaTheme="minorEastAsia" w:hAnsiTheme="minorEastAsia" w:cs="宋体" w:hint="eastAsia"/>
                <w:bCs/>
                <w:sz w:val="24"/>
                <w:szCs w:val="24"/>
              </w:rPr>
              <w:t>基本参数</w:t>
            </w:r>
          </w:p>
        </w:tc>
        <w:tc>
          <w:tcPr>
            <w:tcW w:w="1701" w:type="dxa"/>
          </w:tcPr>
          <w:p w:rsidR="00B94A77" w:rsidRPr="00B94A77" w:rsidRDefault="00B94A77" w:rsidP="00B94A77">
            <w:pPr>
              <w:adjustRightInd/>
              <w:snapToGrid/>
              <w:outlineLvl w:val="2"/>
              <w:rPr>
                <w:rFonts w:asciiTheme="minorEastAsia" w:eastAsiaTheme="minorEastAsia" w:hAnsiTheme="minorEastAsia" w:cs="宋体"/>
                <w:bCs/>
                <w:sz w:val="24"/>
                <w:szCs w:val="24"/>
              </w:rPr>
            </w:pPr>
            <w:r w:rsidRPr="00B94A77">
              <w:rPr>
                <w:rFonts w:asciiTheme="minorEastAsia" w:eastAsiaTheme="minorEastAsia" w:hAnsiTheme="minorEastAsia" w:cs="宋体" w:hint="eastAsia"/>
                <w:bCs/>
                <w:sz w:val="24"/>
                <w:szCs w:val="24"/>
              </w:rPr>
              <w:t>基础型（A）</w:t>
            </w:r>
          </w:p>
        </w:tc>
        <w:tc>
          <w:tcPr>
            <w:tcW w:w="1842" w:type="dxa"/>
          </w:tcPr>
          <w:p w:rsidR="00B94A77" w:rsidRPr="00B94A77" w:rsidRDefault="00B94A77"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标准型（B）</w:t>
            </w:r>
          </w:p>
        </w:tc>
        <w:tc>
          <w:tcPr>
            <w:tcW w:w="2268" w:type="dxa"/>
          </w:tcPr>
          <w:p w:rsidR="00B94A77" w:rsidRPr="00B94A77" w:rsidRDefault="00B94A77"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工控机型（C）</w:t>
            </w:r>
          </w:p>
        </w:tc>
        <w:tc>
          <w:tcPr>
            <w:tcW w:w="2552" w:type="dxa"/>
          </w:tcPr>
          <w:p w:rsidR="00B94A77" w:rsidRPr="00B94A77" w:rsidRDefault="00B94A77"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定制型（D）</w:t>
            </w:r>
          </w:p>
        </w:tc>
      </w:tr>
      <w:tr w:rsidR="00BD1694" w:rsidRPr="00B94A77" w:rsidTr="00BD1694">
        <w:tc>
          <w:tcPr>
            <w:tcW w:w="2235"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主机</w:t>
            </w:r>
          </w:p>
        </w:tc>
        <w:tc>
          <w:tcPr>
            <w:tcW w:w="1701"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Cortex-A8 CPU四线电阻屏</w:t>
            </w:r>
          </w:p>
        </w:tc>
        <w:tc>
          <w:tcPr>
            <w:tcW w:w="1842" w:type="dxa"/>
          </w:tcPr>
          <w:p w:rsidR="00BD1694" w:rsidRPr="00B94A77" w:rsidRDefault="00BD1694" w:rsidP="00154CEA">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Cortex-A8 CPU四线电阻屏</w:t>
            </w:r>
          </w:p>
        </w:tc>
        <w:tc>
          <w:tcPr>
            <w:tcW w:w="2268"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Intel I3 4核CPU 4G内存 256G固态硬盘</w:t>
            </w:r>
          </w:p>
        </w:tc>
        <w:tc>
          <w:tcPr>
            <w:tcW w:w="2552"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Intel I3 4核CPU 4G内存 256G固态硬盘或者更高</w:t>
            </w:r>
          </w:p>
        </w:tc>
      </w:tr>
      <w:tr w:rsidR="00BD1694" w:rsidRPr="00B94A77" w:rsidTr="00BD1694">
        <w:tc>
          <w:tcPr>
            <w:tcW w:w="2235"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软件环境</w:t>
            </w:r>
          </w:p>
        </w:tc>
        <w:tc>
          <w:tcPr>
            <w:tcW w:w="1701"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嵌入式</w:t>
            </w:r>
          </w:p>
        </w:tc>
        <w:tc>
          <w:tcPr>
            <w:tcW w:w="1842"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嵌入式</w:t>
            </w:r>
          </w:p>
        </w:tc>
        <w:tc>
          <w:tcPr>
            <w:tcW w:w="2268"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Win7</w:t>
            </w:r>
          </w:p>
        </w:tc>
        <w:tc>
          <w:tcPr>
            <w:tcW w:w="2552"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Win7</w:t>
            </w:r>
          </w:p>
        </w:tc>
      </w:tr>
      <w:tr w:rsidR="00BD1694" w:rsidRPr="00B94A77" w:rsidTr="00BD1694">
        <w:tc>
          <w:tcPr>
            <w:tcW w:w="2235"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速度位移</w:t>
            </w:r>
          </w:p>
        </w:tc>
        <w:tc>
          <w:tcPr>
            <w:tcW w:w="1701"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位移传感器</w:t>
            </w:r>
          </w:p>
        </w:tc>
        <w:tc>
          <w:tcPr>
            <w:tcW w:w="1842" w:type="dxa"/>
          </w:tcPr>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增量型编码器</w:t>
            </w:r>
          </w:p>
        </w:tc>
        <w:tc>
          <w:tcPr>
            <w:tcW w:w="2268" w:type="dxa"/>
          </w:tcPr>
          <w:p w:rsidR="00BD1694" w:rsidRDefault="00BD1694" w:rsidP="00B94A77">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增量型编码器</w:t>
            </w:r>
          </w:p>
          <w:p w:rsidR="00BD1694" w:rsidRPr="00B94A77" w:rsidRDefault="00BD1694"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绝对值编码器</w:t>
            </w:r>
          </w:p>
        </w:tc>
        <w:tc>
          <w:tcPr>
            <w:tcW w:w="2552" w:type="dxa"/>
          </w:tcPr>
          <w:p w:rsidR="00BD1694" w:rsidRPr="00B94A77" w:rsidRDefault="00BD1694" w:rsidP="00BD1694">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增量型编码器 绝对值编码器 激光测距仪 光栅测距仪</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lastRenderedPageBreak/>
              <w:t>起重量</w:t>
            </w:r>
          </w:p>
        </w:tc>
        <w:tc>
          <w:tcPr>
            <w:tcW w:w="1701"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经济型旁压传感器 仪表读取</w:t>
            </w:r>
          </w:p>
        </w:tc>
        <w:tc>
          <w:tcPr>
            <w:tcW w:w="1842" w:type="dxa"/>
          </w:tcPr>
          <w:p w:rsidR="003F721B" w:rsidRPr="00B94A77" w:rsidRDefault="003F721B" w:rsidP="00154CEA">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经济型旁压传感器 仪表读取</w:t>
            </w:r>
          </w:p>
        </w:tc>
        <w:tc>
          <w:tcPr>
            <w:tcW w:w="2268" w:type="dxa"/>
          </w:tcPr>
          <w:p w:rsidR="003F721B" w:rsidRPr="00B94A77" w:rsidRDefault="003F721B" w:rsidP="003F721B">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旁压传感器 </w:t>
            </w:r>
            <w:r>
              <w:rPr>
                <w:rFonts w:asciiTheme="minorEastAsia" w:eastAsiaTheme="minorEastAsia" w:hAnsiTheme="minorEastAsia" w:cs="宋体" w:hint="eastAsia"/>
                <w:bCs/>
                <w:sz w:val="24"/>
                <w:szCs w:val="24"/>
              </w:rPr>
              <w:t xml:space="preserve">轴销传感器 </w:t>
            </w:r>
            <w:r>
              <w:rPr>
                <w:rFonts w:asciiTheme="minorEastAsia" w:eastAsiaTheme="minorEastAsia" w:hAnsiTheme="minorEastAsia" w:cs="宋体" w:hint="eastAsia"/>
                <w:bCs/>
                <w:sz w:val="24"/>
                <w:szCs w:val="24"/>
              </w:rPr>
              <w:t>仪表读取</w:t>
            </w:r>
          </w:p>
        </w:tc>
        <w:tc>
          <w:tcPr>
            <w:tcW w:w="2552"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旁压传感器 </w:t>
            </w:r>
            <w:r>
              <w:rPr>
                <w:rFonts w:asciiTheme="minorEastAsia" w:eastAsiaTheme="minorEastAsia" w:hAnsiTheme="minorEastAsia" w:cs="宋体" w:hint="eastAsia"/>
                <w:bCs/>
                <w:sz w:val="24"/>
                <w:szCs w:val="24"/>
              </w:rPr>
              <w:t xml:space="preserve">轴销传感器 </w:t>
            </w:r>
            <w:r>
              <w:rPr>
                <w:rFonts w:asciiTheme="minorEastAsia" w:eastAsiaTheme="minorEastAsia" w:hAnsiTheme="minorEastAsia" w:cs="宋体" w:hint="eastAsia"/>
                <w:bCs/>
                <w:sz w:val="24"/>
                <w:szCs w:val="24"/>
              </w:rPr>
              <w:t>仪表读取</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各机构限位</w:t>
            </w:r>
          </w:p>
        </w:tc>
        <w:tc>
          <w:tcPr>
            <w:tcW w:w="1701"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留接入口</w:t>
            </w:r>
          </w:p>
        </w:tc>
        <w:tc>
          <w:tcPr>
            <w:tcW w:w="1842" w:type="dxa"/>
          </w:tcPr>
          <w:p w:rsidR="003F721B" w:rsidRDefault="003F721B" w:rsidP="00B94A77">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留接入口</w:t>
            </w:r>
          </w:p>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红外限位</w:t>
            </w:r>
          </w:p>
        </w:tc>
        <w:tc>
          <w:tcPr>
            <w:tcW w:w="2268" w:type="dxa"/>
          </w:tcPr>
          <w:p w:rsidR="003F721B" w:rsidRDefault="003F721B" w:rsidP="003F721B">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留接入口</w:t>
            </w:r>
          </w:p>
          <w:p w:rsidR="003F721B" w:rsidRPr="00B94A77" w:rsidRDefault="003F721B" w:rsidP="003F721B">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红外限位</w:t>
            </w:r>
          </w:p>
        </w:tc>
        <w:tc>
          <w:tcPr>
            <w:tcW w:w="2552" w:type="dxa"/>
          </w:tcPr>
          <w:p w:rsidR="003F721B" w:rsidRDefault="003F721B" w:rsidP="003F721B">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留接入口 红外限位</w:t>
            </w:r>
          </w:p>
          <w:p w:rsidR="003F721B" w:rsidRPr="00B94A77" w:rsidRDefault="003F721B" w:rsidP="003F721B">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机械限位 激光测距仪</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传感器接入方式</w:t>
            </w:r>
          </w:p>
        </w:tc>
        <w:tc>
          <w:tcPr>
            <w:tcW w:w="1701"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航空插头</w:t>
            </w:r>
          </w:p>
        </w:tc>
        <w:tc>
          <w:tcPr>
            <w:tcW w:w="1842"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航空插头</w:t>
            </w:r>
          </w:p>
        </w:tc>
        <w:tc>
          <w:tcPr>
            <w:tcW w:w="2268"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航空插头</w:t>
            </w:r>
          </w:p>
        </w:tc>
        <w:tc>
          <w:tcPr>
            <w:tcW w:w="2552"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航空插头</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数据传输方式</w:t>
            </w:r>
          </w:p>
        </w:tc>
        <w:tc>
          <w:tcPr>
            <w:tcW w:w="1701"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无线（电台数传）</w:t>
            </w:r>
            <w:r w:rsidR="000A2AC2">
              <w:rPr>
                <w:rFonts w:asciiTheme="minorEastAsia" w:eastAsiaTheme="minorEastAsia" w:hAnsiTheme="minorEastAsia" w:cs="宋体" w:hint="eastAsia"/>
                <w:bCs/>
                <w:sz w:val="24"/>
                <w:szCs w:val="24"/>
              </w:rPr>
              <w:t>有线（自行配线）</w:t>
            </w:r>
          </w:p>
        </w:tc>
        <w:tc>
          <w:tcPr>
            <w:tcW w:w="1842" w:type="dxa"/>
          </w:tcPr>
          <w:p w:rsidR="003F721B" w:rsidRPr="00B94A77" w:rsidRDefault="000A2AC2" w:rsidP="000A2AC2">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无线（电台数传）有线（定制数据线）</w:t>
            </w:r>
          </w:p>
        </w:tc>
        <w:tc>
          <w:tcPr>
            <w:tcW w:w="2268"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无线（电台数传）无线（AP</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有线（定制数据线）</w:t>
            </w:r>
          </w:p>
        </w:tc>
        <w:tc>
          <w:tcPr>
            <w:tcW w:w="255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无线（电台数传）无线（AP</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有线（定制数据线）</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数据采集终端</w:t>
            </w:r>
          </w:p>
        </w:tc>
        <w:tc>
          <w:tcPr>
            <w:tcW w:w="1701"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SC220R</w:t>
            </w:r>
          </w:p>
        </w:tc>
        <w:tc>
          <w:tcPr>
            <w:tcW w:w="184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SC3210R</w:t>
            </w:r>
          </w:p>
        </w:tc>
        <w:tc>
          <w:tcPr>
            <w:tcW w:w="2268"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SC3210R</w:t>
            </w:r>
          </w:p>
        </w:tc>
        <w:tc>
          <w:tcPr>
            <w:tcW w:w="255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SC3210R/PLC</w:t>
            </w:r>
          </w:p>
        </w:tc>
      </w:tr>
      <w:tr w:rsidR="000A2AC2" w:rsidRPr="00B94A77" w:rsidTr="00BD1694">
        <w:tc>
          <w:tcPr>
            <w:tcW w:w="2235"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电源线</w:t>
            </w:r>
          </w:p>
        </w:tc>
        <w:tc>
          <w:tcPr>
            <w:tcW w:w="1701"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不含</w:t>
            </w:r>
          </w:p>
        </w:tc>
        <w:tc>
          <w:tcPr>
            <w:tcW w:w="1842"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标配</w:t>
            </w:r>
          </w:p>
        </w:tc>
        <w:tc>
          <w:tcPr>
            <w:tcW w:w="2268"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根据实际用量</w:t>
            </w:r>
          </w:p>
        </w:tc>
        <w:tc>
          <w:tcPr>
            <w:tcW w:w="2552" w:type="dxa"/>
          </w:tcPr>
          <w:p w:rsidR="000A2AC2" w:rsidRDefault="000A2AC2">
            <w:r w:rsidRPr="00151F5B">
              <w:rPr>
                <w:rFonts w:asciiTheme="minorEastAsia" w:eastAsiaTheme="minorEastAsia" w:hAnsiTheme="minorEastAsia" w:cs="宋体" w:hint="eastAsia"/>
                <w:bCs/>
                <w:sz w:val="24"/>
                <w:szCs w:val="24"/>
              </w:rPr>
              <w:t>根据实际用量</w:t>
            </w:r>
          </w:p>
        </w:tc>
      </w:tr>
      <w:tr w:rsidR="000A2AC2" w:rsidRPr="00B94A77" w:rsidTr="00BD1694">
        <w:tc>
          <w:tcPr>
            <w:tcW w:w="2235"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其他配线</w:t>
            </w:r>
          </w:p>
        </w:tc>
        <w:tc>
          <w:tcPr>
            <w:tcW w:w="1701"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标配</w:t>
            </w:r>
          </w:p>
        </w:tc>
        <w:tc>
          <w:tcPr>
            <w:tcW w:w="1842"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标配</w:t>
            </w:r>
          </w:p>
        </w:tc>
        <w:tc>
          <w:tcPr>
            <w:tcW w:w="2268" w:type="dxa"/>
          </w:tcPr>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根据实际用量</w:t>
            </w:r>
          </w:p>
        </w:tc>
        <w:tc>
          <w:tcPr>
            <w:tcW w:w="2552" w:type="dxa"/>
          </w:tcPr>
          <w:p w:rsidR="000A2AC2" w:rsidRDefault="000A2AC2">
            <w:r w:rsidRPr="00151F5B">
              <w:rPr>
                <w:rFonts w:asciiTheme="minorEastAsia" w:eastAsiaTheme="minorEastAsia" w:hAnsiTheme="minorEastAsia" w:cs="宋体" w:hint="eastAsia"/>
                <w:bCs/>
                <w:sz w:val="24"/>
                <w:szCs w:val="24"/>
              </w:rPr>
              <w:t>根据实际用量</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摄像头</w:t>
            </w:r>
          </w:p>
        </w:tc>
        <w:tc>
          <w:tcPr>
            <w:tcW w:w="1701"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睿郅盾200万</w:t>
            </w:r>
          </w:p>
        </w:tc>
        <w:tc>
          <w:tcPr>
            <w:tcW w:w="184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睿郅盾200万</w:t>
            </w:r>
          </w:p>
        </w:tc>
        <w:tc>
          <w:tcPr>
            <w:tcW w:w="2268"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睿郅盾300万</w:t>
            </w:r>
          </w:p>
        </w:tc>
        <w:tc>
          <w:tcPr>
            <w:tcW w:w="2552" w:type="dxa"/>
          </w:tcPr>
          <w:p w:rsidR="003F721B" w:rsidRDefault="000A2AC2" w:rsidP="00B94A77">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睿郅盾300万</w:t>
            </w:r>
          </w:p>
          <w:p w:rsidR="000A2AC2"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其他知名品牌</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实时状态</w:t>
            </w:r>
          </w:p>
        </w:tc>
        <w:tc>
          <w:tcPr>
            <w:tcW w:w="1701"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符合国标</w:t>
            </w:r>
          </w:p>
        </w:tc>
        <w:tc>
          <w:tcPr>
            <w:tcW w:w="184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符合国标</w:t>
            </w:r>
          </w:p>
        </w:tc>
        <w:tc>
          <w:tcPr>
            <w:tcW w:w="2268"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符合国标 模块化显示</w:t>
            </w:r>
          </w:p>
        </w:tc>
        <w:tc>
          <w:tcPr>
            <w:tcW w:w="255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符合国标 模块化显示</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历史数据</w:t>
            </w:r>
          </w:p>
        </w:tc>
        <w:tc>
          <w:tcPr>
            <w:tcW w:w="1701"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数据报表、可导出U盘</w:t>
            </w:r>
          </w:p>
        </w:tc>
        <w:tc>
          <w:tcPr>
            <w:tcW w:w="184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数据报表、自定义查询、可导出U盘 、形成曲线图</w:t>
            </w:r>
          </w:p>
        </w:tc>
        <w:tc>
          <w:tcPr>
            <w:tcW w:w="2268"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数据报表、自定义查询、可导出U盘 、形成曲线图、柱状图</w:t>
            </w:r>
          </w:p>
        </w:tc>
        <w:tc>
          <w:tcPr>
            <w:tcW w:w="2552" w:type="dxa"/>
          </w:tcPr>
          <w:p w:rsidR="003F721B" w:rsidRPr="00B94A77" w:rsidRDefault="000A2AC2"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数据报表、自定义查询、可导出U盘 、形成曲线图、柱状图</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设备信息登记</w:t>
            </w:r>
          </w:p>
        </w:tc>
        <w:tc>
          <w:tcPr>
            <w:tcW w:w="1701"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无</w:t>
            </w:r>
          </w:p>
        </w:tc>
        <w:tc>
          <w:tcPr>
            <w:tcW w:w="1842"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无</w:t>
            </w:r>
          </w:p>
        </w:tc>
        <w:tc>
          <w:tcPr>
            <w:tcW w:w="2268"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设备实际运行寿命数据统计自动数据库记录</w:t>
            </w:r>
          </w:p>
        </w:tc>
        <w:tc>
          <w:tcPr>
            <w:tcW w:w="2552"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设备实际运行寿命数据统计自动数据库记录，智能预警及更换提示</w:t>
            </w:r>
          </w:p>
        </w:tc>
      </w:tr>
      <w:tr w:rsidR="00A53293" w:rsidRPr="00B94A77" w:rsidTr="00BD1694">
        <w:tc>
          <w:tcPr>
            <w:tcW w:w="2235"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权限管理</w:t>
            </w:r>
          </w:p>
        </w:tc>
        <w:tc>
          <w:tcPr>
            <w:tcW w:w="1701"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权限分配</w:t>
            </w:r>
          </w:p>
        </w:tc>
        <w:tc>
          <w:tcPr>
            <w:tcW w:w="1842" w:type="dxa"/>
          </w:tcPr>
          <w:p w:rsidR="00A53293" w:rsidRDefault="00A53293">
            <w:r w:rsidRPr="00DA4B85">
              <w:rPr>
                <w:rFonts w:asciiTheme="minorEastAsia" w:eastAsiaTheme="minorEastAsia" w:hAnsiTheme="minorEastAsia" w:cs="宋体" w:hint="eastAsia"/>
                <w:bCs/>
                <w:sz w:val="24"/>
                <w:szCs w:val="24"/>
              </w:rPr>
              <w:t>权限分配</w:t>
            </w:r>
          </w:p>
        </w:tc>
        <w:tc>
          <w:tcPr>
            <w:tcW w:w="2268" w:type="dxa"/>
          </w:tcPr>
          <w:p w:rsidR="00A53293" w:rsidRDefault="00A53293">
            <w:r w:rsidRPr="00DA4B85">
              <w:rPr>
                <w:rFonts w:asciiTheme="minorEastAsia" w:eastAsiaTheme="minorEastAsia" w:hAnsiTheme="minorEastAsia" w:cs="宋体" w:hint="eastAsia"/>
                <w:bCs/>
                <w:sz w:val="24"/>
                <w:szCs w:val="24"/>
              </w:rPr>
              <w:t>权限分配</w:t>
            </w:r>
          </w:p>
        </w:tc>
        <w:tc>
          <w:tcPr>
            <w:tcW w:w="2552" w:type="dxa"/>
          </w:tcPr>
          <w:p w:rsidR="00A53293" w:rsidRDefault="00A53293">
            <w:r w:rsidRPr="00DA4B85">
              <w:rPr>
                <w:rFonts w:asciiTheme="minorEastAsia" w:eastAsiaTheme="minorEastAsia" w:hAnsiTheme="minorEastAsia" w:cs="宋体" w:hint="eastAsia"/>
                <w:bCs/>
                <w:sz w:val="24"/>
                <w:szCs w:val="24"/>
              </w:rPr>
              <w:t>权限分配</w:t>
            </w:r>
          </w:p>
        </w:tc>
      </w:tr>
      <w:tr w:rsidR="00A53293" w:rsidRPr="00B94A77" w:rsidTr="00BD1694">
        <w:tc>
          <w:tcPr>
            <w:tcW w:w="2235"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效能/能效管理</w:t>
            </w:r>
          </w:p>
        </w:tc>
        <w:tc>
          <w:tcPr>
            <w:tcW w:w="1701" w:type="dxa"/>
          </w:tcPr>
          <w:p w:rsidR="00A53293" w:rsidRDefault="00A53293">
            <w:r w:rsidRPr="00810EBE">
              <w:rPr>
                <w:rFonts w:asciiTheme="minorEastAsia" w:eastAsiaTheme="minorEastAsia" w:hAnsiTheme="minorEastAsia" w:cs="宋体" w:hint="eastAsia"/>
                <w:bCs/>
                <w:sz w:val="24"/>
                <w:szCs w:val="24"/>
              </w:rPr>
              <w:t>无</w:t>
            </w:r>
          </w:p>
        </w:tc>
        <w:tc>
          <w:tcPr>
            <w:tcW w:w="1842" w:type="dxa"/>
          </w:tcPr>
          <w:p w:rsidR="00A53293" w:rsidRDefault="00A53293">
            <w:r w:rsidRPr="00810EBE">
              <w:rPr>
                <w:rFonts w:asciiTheme="minorEastAsia" w:eastAsiaTheme="minorEastAsia" w:hAnsiTheme="minorEastAsia" w:cs="宋体" w:hint="eastAsia"/>
                <w:bCs/>
                <w:sz w:val="24"/>
                <w:szCs w:val="24"/>
              </w:rPr>
              <w:t>无</w:t>
            </w:r>
          </w:p>
        </w:tc>
        <w:tc>
          <w:tcPr>
            <w:tcW w:w="2268"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起重机运行效率分析</w:t>
            </w:r>
          </w:p>
        </w:tc>
        <w:tc>
          <w:tcPr>
            <w:tcW w:w="2552"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起重机运行效率分析、起重机停机时间统计、起重机能耗分析</w:t>
            </w:r>
          </w:p>
        </w:tc>
      </w:tr>
      <w:tr w:rsidR="00A53293" w:rsidRPr="00B94A77" w:rsidTr="00BD1694">
        <w:tc>
          <w:tcPr>
            <w:tcW w:w="2235"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健康管理</w:t>
            </w:r>
          </w:p>
        </w:tc>
        <w:tc>
          <w:tcPr>
            <w:tcW w:w="1701" w:type="dxa"/>
          </w:tcPr>
          <w:p w:rsidR="00A53293" w:rsidRDefault="00A53293">
            <w:r w:rsidRPr="00810EBE">
              <w:rPr>
                <w:rFonts w:asciiTheme="minorEastAsia" w:eastAsiaTheme="minorEastAsia" w:hAnsiTheme="minorEastAsia" w:cs="宋体" w:hint="eastAsia"/>
                <w:bCs/>
                <w:sz w:val="24"/>
                <w:szCs w:val="24"/>
              </w:rPr>
              <w:t>无</w:t>
            </w:r>
          </w:p>
        </w:tc>
        <w:tc>
          <w:tcPr>
            <w:tcW w:w="1842" w:type="dxa"/>
          </w:tcPr>
          <w:p w:rsidR="00A53293" w:rsidRDefault="00A53293">
            <w:r w:rsidRPr="00810EBE">
              <w:rPr>
                <w:rFonts w:asciiTheme="minorEastAsia" w:eastAsiaTheme="minorEastAsia" w:hAnsiTheme="minorEastAsia" w:cs="宋体" w:hint="eastAsia"/>
                <w:bCs/>
                <w:sz w:val="24"/>
                <w:szCs w:val="24"/>
              </w:rPr>
              <w:t>无</w:t>
            </w:r>
          </w:p>
        </w:tc>
        <w:tc>
          <w:tcPr>
            <w:tcW w:w="2268"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起重机运行状态分析 起重机报警统计分析</w:t>
            </w:r>
          </w:p>
        </w:tc>
        <w:tc>
          <w:tcPr>
            <w:tcW w:w="2552" w:type="dxa"/>
          </w:tcPr>
          <w:p w:rsidR="00A53293" w:rsidRDefault="00A53293" w:rsidP="00B94A77">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起重机运行状态分析 起重机报警统计分析</w:t>
            </w:r>
          </w:p>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起重机使用寿命分析</w:t>
            </w:r>
          </w:p>
        </w:tc>
      </w:tr>
      <w:tr w:rsidR="00A53293" w:rsidRPr="00B94A77" w:rsidTr="00BD1694">
        <w:tc>
          <w:tcPr>
            <w:tcW w:w="2235"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点检管理</w:t>
            </w:r>
          </w:p>
        </w:tc>
        <w:tc>
          <w:tcPr>
            <w:tcW w:w="1701" w:type="dxa"/>
          </w:tcPr>
          <w:p w:rsidR="00A53293" w:rsidRDefault="00A53293">
            <w:r w:rsidRPr="00810EBE">
              <w:rPr>
                <w:rFonts w:asciiTheme="minorEastAsia" w:eastAsiaTheme="minorEastAsia" w:hAnsiTheme="minorEastAsia" w:cs="宋体" w:hint="eastAsia"/>
                <w:bCs/>
                <w:sz w:val="24"/>
                <w:szCs w:val="24"/>
              </w:rPr>
              <w:t>无</w:t>
            </w:r>
          </w:p>
        </w:tc>
        <w:tc>
          <w:tcPr>
            <w:tcW w:w="1842" w:type="dxa"/>
          </w:tcPr>
          <w:p w:rsidR="00A53293" w:rsidRDefault="00A53293">
            <w:r w:rsidRPr="00810EBE">
              <w:rPr>
                <w:rFonts w:asciiTheme="minorEastAsia" w:eastAsiaTheme="minorEastAsia" w:hAnsiTheme="minorEastAsia" w:cs="宋体" w:hint="eastAsia"/>
                <w:bCs/>
                <w:sz w:val="24"/>
                <w:szCs w:val="24"/>
              </w:rPr>
              <w:t>无</w:t>
            </w:r>
          </w:p>
        </w:tc>
        <w:tc>
          <w:tcPr>
            <w:tcW w:w="2268" w:type="dxa"/>
          </w:tcPr>
          <w:p w:rsidR="00A53293" w:rsidRDefault="00A53293" w:rsidP="00B94A77">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设备寿命管理</w:t>
            </w:r>
          </w:p>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资料集中管理</w:t>
            </w:r>
          </w:p>
        </w:tc>
        <w:tc>
          <w:tcPr>
            <w:tcW w:w="2552" w:type="dxa"/>
          </w:tcPr>
          <w:p w:rsidR="00A53293" w:rsidRPr="00B94A77" w:rsidRDefault="00A53293" w:rsidP="00A53293">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设备寿命管理 资料集中管理 计划划定及记录管理 自动提醒及执行记录 实施情况统计及数据决策</w:t>
            </w:r>
          </w:p>
        </w:tc>
      </w:tr>
      <w:tr w:rsidR="00A53293" w:rsidRPr="00B94A77" w:rsidTr="00BD1694">
        <w:tc>
          <w:tcPr>
            <w:tcW w:w="2235"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机械诊断</w:t>
            </w:r>
          </w:p>
        </w:tc>
        <w:tc>
          <w:tcPr>
            <w:tcW w:w="1701" w:type="dxa"/>
          </w:tcPr>
          <w:p w:rsidR="00A53293" w:rsidRDefault="00A53293">
            <w:r w:rsidRPr="00810EBE">
              <w:rPr>
                <w:rFonts w:asciiTheme="minorEastAsia" w:eastAsiaTheme="minorEastAsia" w:hAnsiTheme="minorEastAsia" w:cs="宋体" w:hint="eastAsia"/>
                <w:bCs/>
                <w:sz w:val="24"/>
                <w:szCs w:val="24"/>
              </w:rPr>
              <w:t>无</w:t>
            </w:r>
          </w:p>
        </w:tc>
        <w:tc>
          <w:tcPr>
            <w:tcW w:w="1842" w:type="dxa"/>
          </w:tcPr>
          <w:p w:rsidR="00A53293" w:rsidRDefault="00A53293">
            <w:r w:rsidRPr="00810EBE">
              <w:rPr>
                <w:rFonts w:asciiTheme="minorEastAsia" w:eastAsiaTheme="minorEastAsia" w:hAnsiTheme="minorEastAsia" w:cs="宋体" w:hint="eastAsia"/>
                <w:bCs/>
                <w:sz w:val="24"/>
                <w:szCs w:val="24"/>
              </w:rPr>
              <w:t>无</w:t>
            </w:r>
          </w:p>
        </w:tc>
        <w:tc>
          <w:tcPr>
            <w:tcW w:w="2268"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可扩展需加装传感器</w:t>
            </w:r>
          </w:p>
        </w:tc>
        <w:tc>
          <w:tcPr>
            <w:tcW w:w="2552" w:type="dxa"/>
          </w:tcPr>
          <w:p w:rsidR="00A53293" w:rsidRPr="00B94A77" w:rsidRDefault="00A53293" w:rsidP="00154CEA">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可扩展需加装传感器</w:t>
            </w:r>
          </w:p>
        </w:tc>
      </w:tr>
      <w:tr w:rsidR="00A53293" w:rsidRPr="00B94A77" w:rsidTr="00BD1694">
        <w:tc>
          <w:tcPr>
            <w:tcW w:w="2235"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远程监控</w:t>
            </w:r>
          </w:p>
        </w:tc>
        <w:tc>
          <w:tcPr>
            <w:tcW w:w="1701" w:type="dxa"/>
          </w:tcPr>
          <w:p w:rsidR="00A53293" w:rsidRDefault="00A53293">
            <w:r w:rsidRPr="00810EBE">
              <w:rPr>
                <w:rFonts w:asciiTheme="minorEastAsia" w:eastAsiaTheme="minorEastAsia" w:hAnsiTheme="minorEastAsia" w:cs="宋体" w:hint="eastAsia"/>
                <w:bCs/>
                <w:sz w:val="24"/>
                <w:szCs w:val="24"/>
              </w:rPr>
              <w:t>无</w:t>
            </w:r>
          </w:p>
        </w:tc>
        <w:tc>
          <w:tcPr>
            <w:tcW w:w="1842" w:type="dxa"/>
          </w:tcPr>
          <w:p w:rsidR="00A53293" w:rsidRDefault="00A53293">
            <w:r>
              <w:rPr>
                <w:rFonts w:asciiTheme="minorEastAsia" w:eastAsiaTheme="minorEastAsia" w:hAnsiTheme="minorEastAsia" w:cs="宋体" w:hint="eastAsia"/>
                <w:bCs/>
                <w:sz w:val="24"/>
                <w:szCs w:val="24"/>
              </w:rPr>
              <w:t>可扩展</w:t>
            </w:r>
          </w:p>
        </w:tc>
        <w:tc>
          <w:tcPr>
            <w:tcW w:w="2268"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可扩展</w:t>
            </w:r>
          </w:p>
        </w:tc>
        <w:tc>
          <w:tcPr>
            <w:tcW w:w="2552" w:type="dxa"/>
          </w:tcPr>
          <w:p w:rsidR="00A53293" w:rsidRPr="00B94A77" w:rsidRDefault="00A53293" w:rsidP="00154CEA">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可扩展</w:t>
            </w:r>
          </w:p>
        </w:tc>
      </w:tr>
      <w:tr w:rsidR="00A53293" w:rsidRPr="00B94A77" w:rsidTr="00BD1694">
        <w:tc>
          <w:tcPr>
            <w:tcW w:w="2235"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系统扩展</w:t>
            </w:r>
          </w:p>
        </w:tc>
        <w:tc>
          <w:tcPr>
            <w:tcW w:w="1701" w:type="dxa"/>
          </w:tcPr>
          <w:p w:rsidR="00A53293" w:rsidRDefault="00A53293">
            <w:r w:rsidRPr="00810EBE">
              <w:rPr>
                <w:rFonts w:asciiTheme="minorEastAsia" w:eastAsiaTheme="minorEastAsia" w:hAnsiTheme="minorEastAsia" w:cs="宋体" w:hint="eastAsia"/>
                <w:bCs/>
                <w:sz w:val="24"/>
                <w:szCs w:val="24"/>
              </w:rPr>
              <w:t>无</w:t>
            </w:r>
          </w:p>
        </w:tc>
        <w:tc>
          <w:tcPr>
            <w:tcW w:w="1842" w:type="dxa"/>
          </w:tcPr>
          <w:p w:rsidR="00A53293" w:rsidRDefault="00A53293">
            <w:r>
              <w:rPr>
                <w:rFonts w:asciiTheme="minorEastAsia" w:eastAsiaTheme="minorEastAsia" w:hAnsiTheme="minorEastAsia" w:cs="宋体" w:hint="eastAsia"/>
                <w:bCs/>
                <w:sz w:val="24"/>
                <w:szCs w:val="24"/>
              </w:rPr>
              <w:t>具备</w:t>
            </w:r>
          </w:p>
        </w:tc>
        <w:tc>
          <w:tcPr>
            <w:tcW w:w="2268" w:type="dxa"/>
          </w:tcPr>
          <w:p w:rsidR="00A53293"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具备</w:t>
            </w:r>
          </w:p>
        </w:tc>
        <w:tc>
          <w:tcPr>
            <w:tcW w:w="2552" w:type="dxa"/>
          </w:tcPr>
          <w:p w:rsidR="00A53293" w:rsidRPr="00B94A77" w:rsidRDefault="00A53293" w:rsidP="00154CEA">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具备</w:t>
            </w:r>
          </w:p>
        </w:tc>
      </w:tr>
      <w:tr w:rsidR="003F721B" w:rsidRPr="00B94A77" w:rsidTr="00BD1694">
        <w:tc>
          <w:tcPr>
            <w:tcW w:w="2235" w:type="dxa"/>
          </w:tcPr>
          <w:p w:rsidR="003F721B" w:rsidRPr="00B94A77" w:rsidRDefault="003F721B"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系统供电电压</w:t>
            </w:r>
          </w:p>
        </w:tc>
        <w:tc>
          <w:tcPr>
            <w:tcW w:w="1701"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220V</w:t>
            </w:r>
          </w:p>
        </w:tc>
        <w:tc>
          <w:tcPr>
            <w:tcW w:w="1842"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220V</w:t>
            </w:r>
          </w:p>
        </w:tc>
        <w:tc>
          <w:tcPr>
            <w:tcW w:w="2268"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220V/380V</w:t>
            </w:r>
          </w:p>
        </w:tc>
        <w:tc>
          <w:tcPr>
            <w:tcW w:w="2552"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自定义</w:t>
            </w:r>
          </w:p>
        </w:tc>
      </w:tr>
      <w:tr w:rsidR="003F721B" w:rsidRPr="00B94A77" w:rsidTr="00BD1694">
        <w:tc>
          <w:tcPr>
            <w:tcW w:w="2235" w:type="dxa"/>
          </w:tcPr>
          <w:p w:rsidR="003F721B" w:rsidRDefault="003F721B" w:rsidP="00B94A77">
            <w:pPr>
              <w:adjustRightInd/>
              <w:snapToGrid/>
              <w:outlineLvl w:val="2"/>
              <w:rPr>
                <w:rFonts w:asciiTheme="minorEastAsia" w:eastAsiaTheme="minorEastAsia" w:hAnsiTheme="minorEastAsia" w:cs="宋体" w:hint="eastAsia"/>
                <w:bCs/>
                <w:sz w:val="24"/>
                <w:szCs w:val="24"/>
              </w:rPr>
            </w:pPr>
            <w:r>
              <w:rPr>
                <w:rFonts w:asciiTheme="minorEastAsia" w:eastAsiaTheme="minorEastAsia" w:hAnsiTheme="minorEastAsia" w:cs="宋体" w:hint="eastAsia"/>
                <w:bCs/>
                <w:sz w:val="24"/>
                <w:szCs w:val="24"/>
              </w:rPr>
              <w:t>数据采集终端供电</w:t>
            </w:r>
          </w:p>
        </w:tc>
        <w:tc>
          <w:tcPr>
            <w:tcW w:w="1701"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220V</w:t>
            </w:r>
          </w:p>
        </w:tc>
        <w:tc>
          <w:tcPr>
            <w:tcW w:w="1842"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220V/24V</w:t>
            </w:r>
          </w:p>
        </w:tc>
        <w:tc>
          <w:tcPr>
            <w:tcW w:w="2268"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24V/220V/380V</w:t>
            </w:r>
          </w:p>
        </w:tc>
        <w:tc>
          <w:tcPr>
            <w:tcW w:w="2552" w:type="dxa"/>
          </w:tcPr>
          <w:p w:rsidR="003F721B" w:rsidRPr="00B94A77" w:rsidRDefault="00A53293" w:rsidP="00B94A77">
            <w:pPr>
              <w:adjustRightInd/>
              <w:snapToGrid/>
              <w:outlineLvl w:val="2"/>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自定义</w:t>
            </w:r>
          </w:p>
        </w:tc>
      </w:tr>
    </w:tbl>
    <w:p w:rsidR="00B94A77" w:rsidRPr="00B94A77" w:rsidRDefault="00B94A77" w:rsidP="00B94A77">
      <w:pPr>
        <w:shd w:val="clear" w:color="auto" w:fill="FFFFFF"/>
        <w:adjustRightInd/>
        <w:snapToGrid/>
        <w:spacing w:after="0"/>
        <w:outlineLvl w:val="2"/>
        <w:rPr>
          <w:rFonts w:ascii="微软雅黑" w:hAnsi="微软雅黑" w:cs="宋体"/>
          <w:b/>
          <w:bCs/>
          <w:color w:val="E53333"/>
          <w:sz w:val="27"/>
          <w:szCs w:val="27"/>
        </w:rPr>
      </w:pPr>
    </w:p>
    <w:sectPr w:rsidR="00B94A77" w:rsidRPr="00B94A77" w:rsidSect="00BD169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A2AC2"/>
    <w:rsid w:val="001B049F"/>
    <w:rsid w:val="00290C27"/>
    <w:rsid w:val="00323B43"/>
    <w:rsid w:val="003D37D8"/>
    <w:rsid w:val="003F721B"/>
    <w:rsid w:val="00426133"/>
    <w:rsid w:val="004358AB"/>
    <w:rsid w:val="0053761B"/>
    <w:rsid w:val="00874946"/>
    <w:rsid w:val="008B7726"/>
    <w:rsid w:val="008B778A"/>
    <w:rsid w:val="00A53293"/>
    <w:rsid w:val="00B94A77"/>
    <w:rsid w:val="00BD169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1B049F"/>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B049F"/>
    <w:rPr>
      <w:rFonts w:ascii="宋体" w:eastAsia="宋体" w:hAnsi="宋体" w:cs="宋体"/>
      <w:b/>
      <w:bCs/>
      <w:sz w:val="27"/>
      <w:szCs w:val="27"/>
    </w:rPr>
  </w:style>
  <w:style w:type="paragraph" w:styleId="a3">
    <w:name w:val="Normal (Web)"/>
    <w:basedOn w:val="a"/>
    <w:uiPriority w:val="99"/>
    <w:semiHidden/>
    <w:unhideWhenUsed/>
    <w:rsid w:val="001B049F"/>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B049F"/>
    <w:rPr>
      <w:b/>
      <w:bCs/>
    </w:rPr>
  </w:style>
  <w:style w:type="character" w:styleId="a5">
    <w:name w:val="Hyperlink"/>
    <w:basedOn w:val="a0"/>
    <w:uiPriority w:val="99"/>
    <w:semiHidden/>
    <w:unhideWhenUsed/>
    <w:rsid w:val="001B049F"/>
    <w:rPr>
      <w:color w:val="0000FF"/>
      <w:u w:val="single"/>
    </w:rPr>
  </w:style>
  <w:style w:type="paragraph" w:styleId="a6">
    <w:name w:val="Balloon Text"/>
    <w:basedOn w:val="a"/>
    <w:link w:val="Char"/>
    <w:uiPriority w:val="99"/>
    <w:semiHidden/>
    <w:unhideWhenUsed/>
    <w:rsid w:val="00B94A77"/>
    <w:pPr>
      <w:spacing w:after="0"/>
    </w:pPr>
    <w:rPr>
      <w:sz w:val="18"/>
      <w:szCs w:val="18"/>
    </w:rPr>
  </w:style>
  <w:style w:type="character" w:customStyle="1" w:styleId="Char">
    <w:name w:val="批注框文本 Char"/>
    <w:basedOn w:val="a0"/>
    <w:link w:val="a6"/>
    <w:uiPriority w:val="99"/>
    <w:semiHidden/>
    <w:rsid w:val="00B94A77"/>
    <w:rPr>
      <w:rFonts w:ascii="Tahoma" w:hAnsi="Tahoma"/>
      <w:sz w:val="18"/>
      <w:szCs w:val="18"/>
    </w:rPr>
  </w:style>
  <w:style w:type="table" w:styleId="a7">
    <w:name w:val="Table Grid"/>
    <w:basedOn w:val="a1"/>
    <w:uiPriority w:val="59"/>
    <w:rsid w:val="00B94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eijingkde.com/service/11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2019-02-27T02:40:00Z</dcterms:modified>
</cp:coreProperties>
</file>